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Times New Roman" w:asciiTheme="minorEastAsia" w:hAnsiTheme="minorEastAsia"/>
          <w:b/>
          <w:color w:val="000000"/>
          <w:sz w:val="24"/>
          <w:szCs w:val="24"/>
        </w:rPr>
      </w:pPr>
      <w:r>
        <w:rPr>
          <w:rFonts w:hint="eastAsia" w:cs="Times New Roman" w:asciiTheme="minorEastAsia" w:hAnsiTheme="minorEastAsia"/>
          <w:b/>
          <w:color w:val="000000"/>
          <w:sz w:val="24"/>
          <w:szCs w:val="24"/>
        </w:rPr>
        <w:t>附件1</w:t>
      </w:r>
    </w:p>
    <w:tbl>
      <w:tblPr>
        <w:tblStyle w:val="3"/>
        <w:tblpPr w:leftFromText="180" w:rightFromText="180" w:vertAnchor="text" w:horzAnchor="margin" w:tblpXSpec="center" w:tblpY="196"/>
        <w:tblW w:w="100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6"/>
        <w:gridCol w:w="594"/>
        <w:gridCol w:w="503"/>
        <w:gridCol w:w="551"/>
        <w:gridCol w:w="1109"/>
        <w:gridCol w:w="1115"/>
        <w:gridCol w:w="303"/>
        <w:gridCol w:w="693"/>
        <w:gridCol w:w="283"/>
        <w:gridCol w:w="469"/>
        <w:gridCol w:w="632"/>
        <w:gridCol w:w="81"/>
        <w:gridCol w:w="941"/>
        <w:gridCol w:w="194"/>
        <w:gridCol w:w="1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98" w:type="dxa"/>
            <w:gridSpan w:val="16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学科竞赛情况说明表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98" w:type="dxa"/>
            <w:gridSpan w:val="16"/>
            <w:noWrap/>
            <w:vAlign w:val="center"/>
          </w:tcPr>
          <w:p>
            <w:pPr>
              <w:widowControl/>
              <w:snapToGrid w:val="0"/>
              <w:ind w:firstLine="5900" w:firstLineChars="2500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学院（盖章）：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竞赛信息</w:t>
            </w: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772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772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协办/合作单位</w:t>
            </w:r>
          </w:p>
        </w:tc>
        <w:tc>
          <w:tcPr>
            <w:tcW w:w="772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竞赛级别</w:t>
            </w:r>
          </w:p>
        </w:tc>
        <w:tc>
          <w:tcPr>
            <w:tcW w:w="7724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□国际级     □国家级     □省部级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竞赛官网</w:t>
            </w:r>
          </w:p>
        </w:tc>
        <w:tc>
          <w:tcPr>
            <w:tcW w:w="7724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面向专业类/学科</w:t>
            </w:r>
          </w:p>
        </w:tc>
        <w:tc>
          <w:tcPr>
            <w:tcW w:w="772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参赛对象</w:t>
            </w:r>
          </w:p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772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□本科生     □研究生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参赛形式</w:t>
            </w:r>
          </w:p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□团队赛</w:t>
            </w:r>
          </w:p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□个人赛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是否有省级选拔赛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□是</w:t>
            </w:r>
          </w:p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是否有校级选拔赛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□是</w:t>
            </w:r>
          </w:p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竞赛指导</w:t>
            </w:r>
          </w:p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30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□课堂讲授</w:t>
            </w:r>
          </w:p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□实践指导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竞赛举办</w:t>
            </w:r>
          </w:p>
          <w:p>
            <w:pPr>
              <w:widowControl/>
              <w:snapToGrid w:val="0"/>
              <w:ind w:left="385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频次</w:t>
            </w:r>
          </w:p>
        </w:tc>
        <w:tc>
          <w:tcPr>
            <w:tcW w:w="32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708" w:firstLineChars="30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□每年</w:t>
            </w:r>
          </w:p>
          <w:p>
            <w:pPr>
              <w:widowControl/>
              <w:snapToGrid w:val="0"/>
              <w:ind w:firstLine="708" w:firstLineChars="300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□每两年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我校参与或负责组织该项竞赛的主要联系人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学院/部门</w:t>
            </w:r>
          </w:p>
        </w:tc>
        <w:tc>
          <w:tcPr>
            <w:tcW w:w="606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竞赛指导</w:t>
            </w:r>
          </w:p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使用场地</w:t>
            </w:r>
          </w:p>
        </w:tc>
        <w:tc>
          <w:tcPr>
            <w:tcW w:w="606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5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606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竞赛历程（最近两届）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届数</w:t>
            </w:r>
          </w:p>
        </w:tc>
        <w:tc>
          <w:tcPr>
            <w:tcW w:w="10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决赛承办单位</w:t>
            </w: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报名情况</w:t>
            </w:r>
          </w:p>
        </w:tc>
        <w:tc>
          <w:tcPr>
            <w:tcW w:w="3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决赛情况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参赛学校数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报名队数/人数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入围队数/人数</w:t>
            </w: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参赛学校数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决赛队数/人数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获奖队数/人数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第  届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第  届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学校参赛情况（最近两届）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届数</w:t>
            </w: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校级初赛</w:t>
            </w:r>
          </w:p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（没有可不填）</w:t>
            </w: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省部级复赛</w:t>
            </w:r>
          </w:p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（没有可不填）</w:t>
            </w:r>
          </w:p>
        </w:tc>
        <w:tc>
          <w:tcPr>
            <w:tcW w:w="2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全国总决赛</w:t>
            </w:r>
          </w:p>
        </w:tc>
        <w:tc>
          <w:tcPr>
            <w:tcW w:w="13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获得最高奖励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报名队数/人数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获奖队数/人数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参赛队数/人数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获奖队数/人数</w:t>
            </w: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决赛队数/人数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获奖队数/人数</w:t>
            </w:r>
          </w:p>
        </w:tc>
        <w:tc>
          <w:tcPr>
            <w:tcW w:w="1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第  届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第  届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奖项设置及获奖比例</w:t>
            </w:r>
          </w:p>
        </w:tc>
        <w:tc>
          <w:tcPr>
            <w:tcW w:w="88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ind w:right="960"/>
              <w:rPr>
                <w:rFonts w:cs="Times New Roman" w:asciiTheme="minorEastAsia" w:hAnsiTheme="minorEastAsia"/>
                <w:color w:val="A6A6A6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A6A6A6"/>
                <w:kern w:val="0"/>
                <w:sz w:val="24"/>
                <w:szCs w:val="24"/>
              </w:rPr>
              <w:t>例：特等奖1项（获奖比例0.2%）、一等奖50项（获奖比例10%）、二等奖100项（获奖比例20%）、三等奖200项（获奖比例40%）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与同领域的竞赛相比，请说明该竞赛的特点和影响力</w:t>
            </w:r>
          </w:p>
        </w:tc>
        <w:tc>
          <w:tcPr>
            <w:tcW w:w="88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righ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righ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righ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88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righ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righ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righ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righ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 xml:space="preserve">竞赛指导学院教学院长（签字）：             </w:t>
            </w:r>
          </w:p>
          <w:p>
            <w:pPr>
              <w:widowControl/>
              <w:snapToGrid w:val="0"/>
              <w:jc w:val="right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color w:val="000000"/>
          <w:sz w:val="24"/>
          <w:szCs w:val="24"/>
        </w:rPr>
      </w:pPr>
    </w:p>
    <w:p>
      <w:pPr>
        <w:widowControl/>
        <w:jc w:val="left"/>
        <w:rPr>
          <w:rFonts w:cs="Times New Roman" w:asciiTheme="minorEastAsia" w:hAnsiTheme="minorEastAsia"/>
          <w:color w:val="000000"/>
          <w:sz w:val="24"/>
          <w:szCs w:val="2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24"/>
          <w:szCs w:val="24"/>
        </w:rPr>
      </w:pPr>
      <w:r>
        <w:rPr>
          <w:rFonts w:hint="eastAsia" w:cs="Times New Roman" w:asciiTheme="minorEastAsia" w:hAnsiTheme="minorEastAsia"/>
          <w:b/>
          <w:color w:val="000000"/>
          <w:sz w:val="24"/>
          <w:szCs w:val="24"/>
        </w:rPr>
        <w:t>附件2</w:t>
      </w:r>
    </w:p>
    <w:p>
      <w:pPr>
        <w:rPr>
          <w:rFonts w:cs="Times New Roman" w:asciiTheme="minorEastAsia" w:hAnsiTheme="minorEastAsia"/>
          <w:sz w:val="24"/>
          <w:szCs w:val="24"/>
        </w:rPr>
        <w:sectPr>
          <w:pgSz w:w="11907" w:h="16840"/>
          <w:pgMar w:top="1985" w:right="1474" w:bottom="1985" w:left="1588" w:header="1418" w:footer="1486" w:gutter="0"/>
          <w:cols w:space="425" w:num="1"/>
          <w:docGrid w:type="linesAndChars" w:linePitch="579" w:charSpace="-842"/>
        </w:sectPr>
      </w:pPr>
      <w:r>
        <w:rPr>
          <w:rFonts w:cs="Times New Roman" w:asciiTheme="minorEastAsia" w:hAnsiTheme="minorEastAsia"/>
          <w:sz w:val="24"/>
          <w:szCs w:val="24"/>
        </w:rPr>
        <w:object>
          <v:shape id="_x0000_i1025" o:spt="75" type="#_x0000_t75" style="height:553.9pt;width:442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</w:p>
    <w:p>
      <w:pPr>
        <w:widowControl/>
        <w:jc w:val="left"/>
        <w:rPr>
          <w:rFonts w:cs="Times New Roman" w:asciiTheme="minorEastAsia" w:hAnsiTheme="minorEastAsia"/>
          <w:b/>
          <w:color w:val="000000"/>
          <w:sz w:val="24"/>
          <w:szCs w:val="24"/>
        </w:rPr>
      </w:pPr>
      <w:r>
        <w:rPr>
          <w:rFonts w:hint="eastAsia" w:cs="Times New Roman" w:asciiTheme="minorEastAsia" w:hAnsiTheme="minorEastAsia"/>
          <w:b/>
          <w:color w:val="000000"/>
          <w:sz w:val="24"/>
          <w:szCs w:val="24"/>
        </w:rPr>
        <w:t>附件3</w:t>
      </w:r>
    </w:p>
    <w:p>
      <w:pPr>
        <w:snapToGrid w:val="0"/>
        <w:jc w:val="left"/>
        <w:rPr>
          <w:rFonts w:cs="Times New Roman" w:asciiTheme="minorEastAsia" w:hAnsiTheme="minorEastAsia"/>
          <w:sz w:val="24"/>
          <w:szCs w:val="24"/>
        </w:rPr>
      </w:pPr>
    </w:p>
    <w:p>
      <w:pPr>
        <w:widowControl/>
        <w:spacing w:after="62" w:afterLines="20"/>
        <w:jc w:val="center"/>
        <w:rPr>
          <w:rFonts w:ascii="Times New Roman" w:hAnsi="Times New Roman" w:eastAsia="方正小标宋简体" w:cs="Times New Roman"/>
          <w:sz w:val="36"/>
          <w:szCs w:val="21"/>
        </w:rPr>
      </w:pPr>
      <w:r>
        <w:rPr>
          <w:rFonts w:hint="eastAsia" w:ascii="Times New Roman" w:hAnsi="Times New Roman" w:eastAsia="方正小标宋简体" w:cs="Times New Roman"/>
          <w:sz w:val="36"/>
          <w:szCs w:val="21"/>
        </w:rPr>
        <w:t>北京理工大学2</w:t>
      </w:r>
      <w:r>
        <w:rPr>
          <w:rFonts w:ascii="Times New Roman" w:hAnsi="Times New Roman" w:eastAsia="方正小标宋简体" w:cs="Times New Roman"/>
          <w:sz w:val="36"/>
          <w:szCs w:val="21"/>
        </w:rPr>
        <w:t>021</w:t>
      </w:r>
      <w:r>
        <w:rPr>
          <w:rFonts w:hint="eastAsia" w:ascii="Times New Roman" w:hAnsi="Times New Roman" w:eastAsia="方正小标宋简体" w:cs="Times New Roman"/>
          <w:sz w:val="36"/>
          <w:szCs w:val="21"/>
        </w:rPr>
        <w:t>年推荐优秀应届本科毕业生免试攻读研究生承诺书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1"/>
        </w:rPr>
      </w:pPr>
      <w:r>
        <w:rPr>
          <w:rFonts w:hint="eastAsia" w:ascii="仿宋" w:hAnsi="仿宋" w:eastAsia="仿宋" w:cs="Times New Roman"/>
          <w:sz w:val="32"/>
          <w:szCs w:val="21"/>
        </w:rPr>
        <w:t>本人知晓并理解北京理工大学2021年推荐优秀应届本科毕业生免试攻读研究生（以下简称“推免”）工作的有关规定，经过认真考虑，现郑重承诺：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1"/>
        </w:rPr>
      </w:pPr>
      <w:r>
        <w:rPr>
          <w:rFonts w:hint="eastAsia" w:ascii="仿宋" w:hAnsi="仿宋" w:eastAsia="仿宋" w:cs="Times New Roman"/>
          <w:sz w:val="32"/>
          <w:szCs w:val="21"/>
        </w:rPr>
        <w:t>在申请并获得北京理工大学2021年推免资格，并已与报考院校确定录取后，本人不再参加统考、就业、出国留学等可能影响学校推免工作的活动，并在指定时间内到推免接收单位进行研究生入学报到。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1"/>
        </w:rPr>
      </w:pPr>
      <w:r>
        <w:rPr>
          <w:rFonts w:hint="eastAsia" w:ascii="仿宋" w:hAnsi="仿宋" w:eastAsia="仿宋" w:cs="Times New Roman"/>
          <w:sz w:val="32"/>
          <w:szCs w:val="21"/>
        </w:rPr>
        <w:t>若本人违反上述承诺，本人同意学校将此不诚信行为记录在本人档案中，并可向本人就业单位或国内外就读学校告知相关情况。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1"/>
        </w:rPr>
      </w:pPr>
      <w:r>
        <w:rPr>
          <w:rFonts w:hint="eastAsia" w:ascii="仿宋" w:hAnsi="仿宋" w:eastAsia="仿宋" w:cs="Times New Roman"/>
          <w:sz w:val="32"/>
          <w:szCs w:val="21"/>
        </w:rPr>
        <w:t>本人知晓：若本人违反上述承诺，不仅会使学校损失当年推免名额，而且将会给本人所在学院带来来年推免名额削减的事实。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1"/>
        </w:rPr>
      </w:pPr>
      <w:r>
        <w:rPr>
          <w:rFonts w:hint="eastAsia" w:ascii="仿宋" w:hAnsi="仿宋" w:eastAsia="仿宋" w:cs="Times New Roman"/>
          <w:sz w:val="32"/>
          <w:szCs w:val="21"/>
        </w:rPr>
        <w:t>本承诺书一式三份，学校、承诺人所在学院、承诺人本人各执一份。</w:t>
      </w:r>
    </w:p>
    <w:p>
      <w:pPr>
        <w:spacing w:line="520" w:lineRule="exact"/>
        <w:ind w:firstLine="640" w:firstLineChars="200"/>
        <w:rPr>
          <w:rFonts w:ascii="仿宋" w:hAnsi="仿宋" w:eastAsia="仿宋" w:cs="Times New Roman"/>
          <w:sz w:val="32"/>
          <w:szCs w:val="21"/>
        </w:rPr>
      </w:pPr>
    </w:p>
    <w:p>
      <w:pPr>
        <w:wordWrap w:val="0"/>
        <w:spacing w:after="156" w:afterLines="50" w:line="520" w:lineRule="exact"/>
        <w:jc w:val="right"/>
        <w:rPr>
          <w:rFonts w:ascii="仿宋" w:hAnsi="仿宋" w:eastAsia="仿宋" w:cs="Times New Roman"/>
          <w:sz w:val="32"/>
          <w:szCs w:val="21"/>
        </w:rPr>
      </w:pPr>
      <w:r>
        <w:rPr>
          <w:rFonts w:hint="eastAsia" w:ascii="仿宋" w:hAnsi="仿宋" w:eastAsia="仿宋" w:cs="Times New Roman"/>
          <w:sz w:val="32"/>
          <w:szCs w:val="21"/>
        </w:rPr>
        <w:t xml:space="preserve">承诺人（签字）： </w:t>
      </w:r>
      <w:r>
        <w:rPr>
          <w:rFonts w:ascii="仿宋" w:hAnsi="仿宋" w:eastAsia="仿宋" w:cs="Times New Roman"/>
          <w:sz w:val="32"/>
          <w:szCs w:val="21"/>
        </w:rPr>
        <w:t xml:space="preserve">                </w:t>
      </w:r>
    </w:p>
    <w:p>
      <w:pPr>
        <w:spacing w:line="520" w:lineRule="exact"/>
        <w:jc w:val="right"/>
        <w:rPr>
          <w:rFonts w:ascii="仿宋" w:hAnsi="仿宋" w:eastAsia="仿宋" w:cs="Times New Roman"/>
          <w:sz w:val="32"/>
          <w:szCs w:val="21"/>
        </w:rPr>
      </w:pPr>
      <w:r>
        <w:rPr>
          <w:rFonts w:hint="eastAsia" w:ascii="仿宋" w:hAnsi="仿宋" w:eastAsia="仿宋" w:cs="Times New Roman"/>
          <w:sz w:val="32"/>
          <w:szCs w:val="21"/>
        </w:rPr>
        <w:t>日期：</w:t>
      </w:r>
      <w:r>
        <w:rPr>
          <w:rFonts w:ascii="仿宋" w:hAnsi="仿宋" w:eastAsia="仿宋" w:cs="Times New Roman"/>
          <w:sz w:val="32"/>
          <w:szCs w:val="21"/>
        </w:rPr>
        <w:t>2020</w:t>
      </w:r>
      <w:r>
        <w:rPr>
          <w:rFonts w:hint="eastAsia" w:ascii="仿宋" w:hAnsi="仿宋" w:eastAsia="仿宋" w:cs="Times New Roman"/>
          <w:sz w:val="32"/>
          <w:szCs w:val="21"/>
        </w:rPr>
        <w:t>年</w:t>
      </w:r>
      <w:r>
        <w:rPr>
          <w:rFonts w:ascii="仿宋" w:hAnsi="仿宋" w:eastAsia="仿宋" w:cs="Times New Roman"/>
          <w:sz w:val="32"/>
          <w:szCs w:val="21"/>
        </w:rPr>
        <w:t xml:space="preserve">   </w:t>
      </w:r>
      <w:r>
        <w:rPr>
          <w:rFonts w:hint="eastAsia" w:ascii="仿宋" w:hAnsi="仿宋" w:eastAsia="仿宋" w:cs="Times New Roman"/>
          <w:sz w:val="32"/>
          <w:szCs w:val="21"/>
        </w:rPr>
        <w:t xml:space="preserve">月 </w:t>
      </w:r>
      <w:r>
        <w:rPr>
          <w:rFonts w:ascii="仿宋" w:hAnsi="仿宋" w:eastAsia="仿宋" w:cs="Times New Roman"/>
          <w:sz w:val="32"/>
          <w:szCs w:val="21"/>
        </w:rPr>
        <w:t xml:space="preserve">  </w:t>
      </w:r>
      <w:r>
        <w:rPr>
          <w:rFonts w:hint="eastAsia" w:ascii="仿宋" w:hAnsi="仿宋" w:eastAsia="仿宋" w:cs="Times New Roman"/>
          <w:sz w:val="32"/>
          <w:szCs w:val="21"/>
        </w:rPr>
        <w:t>日</w:t>
      </w:r>
    </w:p>
    <w:p>
      <w:pPr>
        <w:spacing w:line="520" w:lineRule="exact"/>
        <w:jc w:val="right"/>
        <w:rPr>
          <w:rFonts w:ascii="仿宋" w:hAnsi="仿宋" w:eastAsia="仿宋" w:cs="Times New Roman"/>
          <w:sz w:val="32"/>
          <w:szCs w:val="21"/>
        </w:rPr>
      </w:pPr>
    </w:p>
    <w:p>
      <w:pPr>
        <w:spacing w:line="520" w:lineRule="exact"/>
        <w:jc w:val="right"/>
        <w:rPr>
          <w:rFonts w:ascii="仿宋" w:hAnsi="仿宋" w:eastAsia="仿宋" w:cs="Times New Roman"/>
          <w:sz w:val="32"/>
          <w:szCs w:val="21"/>
        </w:rPr>
      </w:pPr>
    </w:p>
    <w:p>
      <w:pPr>
        <w:spacing w:line="520" w:lineRule="exact"/>
        <w:jc w:val="right"/>
        <w:rPr>
          <w:rFonts w:ascii="仿宋" w:hAnsi="仿宋" w:eastAsia="仿宋" w:cs="Times New Roman"/>
          <w:sz w:val="32"/>
          <w:szCs w:val="21"/>
        </w:rPr>
      </w:pPr>
    </w:p>
    <w:p>
      <w:pPr>
        <w:widowControl/>
        <w:snapToGrid w:val="0"/>
        <w:jc w:val="left"/>
        <w:rPr>
          <w:rFonts w:cs="Times New Roman" w:asciiTheme="minorEastAsia" w:hAnsiTheme="minorEastAsia"/>
          <w:b/>
          <w:color w:val="000000"/>
          <w:sz w:val="24"/>
          <w:szCs w:val="24"/>
        </w:rPr>
      </w:pPr>
      <w:r>
        <w:rPr>
          <w:rFonts w:hint="eastAsia" w:cs="Times New Roman" w:asciiTheme="minorEastAsia" w:hAnsiTheme="minorEastAsia"/>
          <w:b/>
          <w:color w:val="000000"/>
          <w:sz w:val="24"/>
          <w:szCs w:val="24"/>
        </w:rPr>
        <w:t>附件4</w:t>
      </w:r>
    </w:p>
    <w:p>
      <w:pPr>
        <w:widowControl/>
        <w:spacing w:after="62" w:afterLines="20"/>
        <w:jc w:val="center"/>
        <w:rPr>
          <w:rFonts w:ascii="Times New Roman" w:hAnsi="Times New Roman" w:eastAsia="方正小标宋简体" w:cs="Times New Roman"/>
          <w:sz w:val="36"/>
          <w:szCs w:val="21"/>
        </w:rPr>
      </w:pPr>
      <w:r>
        <w:rPr>
          <w:rFonts w:hint="eastAsia" w:ascii="Times New Roman" w:hAnsi="Times New Roman" w:eastAsia="方正小标宋简体" w:cs="Times New Roman"/>
          <w:sz w:val="36"/>
          <w:szCs w:val="21"/>
        </w:rPr>
        <w:t>学校咨询及申诉渠道</w:t>
      </w:r>
    </w:p>
    <w:p>
      <w:pPr>
        <w:snapToGrid w:val="0"/>
        <w:ind w:firstLine="753" w:firstLineChars="250"/>
        <w:jc w:val="center"/>
        <w:rPr>
          <w:rFonts w:ascii="Times New Roman" w:hAnsi="Times New Roman" w:eastAsia="仿宋_GB2312" w:cs="Times New Roman"/>
          <w:b/>
          <w:sz w:val="30"/>
          <w:szCs w:val="30"/>
        </w:rPr>
      </w:pPr>
    </w:p>
    <w:p>
      <w:pPr>
        <w:snapToGrid w:val="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校推荐工作咨询部门：教务部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电子邮箱：chenhao618@bit.edu.cn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电    话：68918198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通讯地址：北京海淀区中关村南大街5号  北京理工大学教务部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邮    编：100081</w:t>
      </w:r>
    </w:p>
    <w:p>
      <w:pPr>
        <w:snapToGrid w:val="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校接收工作咨询部门：研究生院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电子邮箱：yjszb@bit.edu.cn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电    话：68912286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  <w:spacing w:val="-10"/>
        </w:rPr>
      </w:pPr>
      <w:r>
        <w:rPr>
          <w:rFonts w:ascii="Times New Roman" w:hAnsi="Times New Roman" w:eastAsia="仿宋_GB2312" w:cs="Times New Roman"/>
        </w:rPr>
        <w:t>通讯地址：</w:t>
      </w:r>
      <w:r>
        <w:rPr>
          <w:rFonts w:ascii="Times New Roman" w:hAnsi="Times New Roman" w:eastAsia="仿宋_GB2312" w:cs="Times New Roman"/>
          <w:spacing w:val="-2"/>
        </w:rPr>
        <w:t>北京海淀区中关村南大街5号  北京理工大学研究生院招生办公室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邮    编：100081</w:t>
      </w:r>
    </w:p>
    <w:p>
      <w:pPr>
        <w:snapToGrid w:val="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校推荐接收申诉举报部门：纪委 监察室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电子邮箱：</w:t>
      </w:r>
      <w:r>
        <w:fldChar w:fldCharType="begin"/>
      </w:r>
      <w:r>
        <w:instrText xml:space="preserve"> HYPERLINK "mailto:jwjc311@bit.edu.cn" </w:instrText>
      </w:r>
      <w:r>
        <w:fldChar w:fldCharType="separate"/>
      </w:r>
      <w:r>
        <w:rPr>
          <w:rFonts w:ascii="Times New Roman" w:hAnsi="Times New Roman" w:eastAsia="仿宋_GB2312" w:cs="Times New Roman"/>
        </w:rPr>
        <w:t>jwjc311@bit.edu.cn</w:t>
      </w:r>
      <w:r>
        <w:rPr>
          <w:rFonts w:ascii="Times New Roman" w:hAnsi="Times New Roman" w:eastAsia="仿宋_GB2312" w:cs="Times New Roman"/>
        </w:rPr>
        <w:fldChar w:fldCharType="end"/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电    话：68918076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通讯地址：北京海淀区中关村南大街5号 北京理工大学纪委监察室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邮    编：100081</w:t>
      </w:r>
    </w:p>
    <w:p>
      <w:pPr>
        <w:snapToGrid w:val="0"/>
        <w:ind w:firstLine="2100" w:firstLineChars="1000"/>
        <w:rPr>
          <w:rFonts w:ascii="Calibri" w:hAnsi="Calibri" w:eastAsia="宋体" w:cs="Times New Roman"/>
        </w:rPr>
      </w:pPr>
    </w:p>
    <w:p>
      <w:pPr>
        <w:snapToGrid w:val="0"/>
        <w:ind w:firstLine="600" w:firstLineChars="250"/>
        <w:rPr>
          <w:rFonts w:cs="Times New Roman" w:asciiTheme="minorEastAsia" w:hAnsiTheme="minorEastAsia"/>
          <w:sz w:val="24"/>
          <w:szCs w:val="24"/>
        </w:rPr>
      </w:pPr>
    </w:p>
    <w:p>
      <w:pPr>
        <w:widowControl/>
        <w:jc w:val="center"/>
        <w:rPr>
          <w:rFonts w:cs="宋体" w:asciiTheme="minorEastAsia" w:hAnsiTheme="minorEastAsia"/>
          <w:color w:val="323232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法学院咨询及申诉渠道</w:t>
      </w:r>
    </w:p>
    <w:p>
      <w:pPr>
        <w:snapToGrid w:val="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法学院推荐工作成绩排名咨询：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负责人：曾佳佳老师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电子邮箱： </w:t>
      </w:r>
      <w:r>
        <w:fldChar w:fldCharType="begin"/>
      </w:r>
      <w:r>
        <w:instrText xml:space="preserve"> HYPERLINK "mailto:zengjiajia@bit.edu.cn" </w:instrText>
      </w:r>
      <w:r>
        <w:fldChar w:fldCharType="separate"/>
      </w:r>
      <w:r>
        <w:rPr>
          <w:rStyle w:val="5"/>
          <w:rFonts w:hint="eastAsia" w:ascii="Times New Roman" w:hAnsi="Times New Roman" w:eastAsia="仿宋_GB2312" w:cs="Times New Roman"/>
          <w:color w:val="auto"/>
          <w:u w:val="none"/>
        </w:rPr>
        <w:t>zengjiajia</w:t>
      </w:r>
      <w:r>
        <w:rPr>
          <w:rStyle w:val="5"/>
          <w:rFonts w:ascii="Times New Roman" w:hAnsi="Times New Roman" w:eastAsia="仿宋_GB2312" w:cs="Times New Roman"/>
          <w:color w:val="auto"/>
          <w:u w:val="none"/>
        </w:rPr>
        <w:t>@bit.edu.cn</w:t>
      </w:r>
      <w:r>
        <w:rPr>
          <w:rStyle w:val="5"/>
          <w:rFonts w:ascii="Times New Roman" w:hAnsi="Times New Roman" w:eastAsia="仿宋_GB2312" w:cs="Times New Roman"/>
          <w:color w:val="auto"/>
          <w:u w:val="none"/>
        </w:rPr>
        <w:fldChar w:fldCharType="end"/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电话：68911140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通讯地址：北京市海淀区中关村南大街5号北京理工大学法学院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邮编：100081 </w:t>
      </w:r>
    </w:p>
    <w:p>
      <w:pPr>
        <w:snapToGrid w:val="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法学院推荐工作综合素质排名咨询：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负责人：郭佳琛老师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电子邮箱：</w:t>
      </w:r>
      <w:r>
        <w:fldChar w:fldCharType="begin"/>
      </w:r>
      <w:r>
        <w:instrText xml:space="preserve"> HYPERLINK "mailto:faxueyuan1217@163.com" </w:instrText>
      </w:r>
      <w:r>
        <w:fldChar w:fldCharType="separate"/>
      </w:r>
      <w:r>
        <w:rPr>
          <w:rStyle w:val="5"/>
          <w:rFonts w:hint="eastAsia" w:ascii="Times New Roman" w:hAnsi="Times New Roman" w:eastAsia="仿宋_GB2312" w:cs="Times New Roman"/>
          <w:color w:val="auto"/>
          <w:u w:val="none"/>
        </w:rPr>
        <w:t>faxueyuan1217@163.com</w:t>
      </w:r>
      <w:r>
        <w:rPr>
          <w:rStyle w:val="5"/>
          <w:rFonts w:hint="eastAsia" w:ascii="Times New Roman" w:hAnsi="Times New Roman" w:eastAsia="仿宋_GB2312" w:cs="Times New Roman"/>
          <w:color w:val="auto"/>
          <w:u w:val="none"/>
        </w:rPr>
        <w:fldChar w:fldCharType="end"/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电话：68918082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通讯地址：北京市海淀区中关村南大街5号北京理工大学法学院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邮编：100081</w:t>
      </w:r>
    </w:p>
    <w:p>
      <w:pPr>
        <w:snapToGrid w:val="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法学院推荐工作申诉渠道：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负责人：郭德忠副院长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电子邮箱：</w:t>
      </w:r>
      <w:r>
        <w:fldChar w:fldCharType="begin"/>
      </w:r>
      <w:r>
        <w:instrText xml:space="preserve"> HYPERLINK "mailto:guodezhong@163.com" </w:instrText>
      </w:r>
      <w:r>
        <w:fldChar w:fldCharType="separate"/>
      </w:r>
      <w:r>
        <w:rPr>
          <w:rStyle w:val="5"/>
          <w:rFonts w:ascii="Times New Roman" w:hAnsi="Times New Roman" w:eastAsia="仿宋_GB2312" w:cs="Times New Roman"/>
          <w:color w:val="auto"/>
          <w:u w:val="none"/>
        </w:rPr>
        <w:t>guodezhong</w:t>
      </w:r>
      <w:r>
        <w:rPr>
          <w:rStyle w:val="5"/>
          <w:rFonts w:hint="eastAsia" w:ascii="Times New Roman" w:hAnsi="Times New Roman" w:eastAsia="仿宋_GB2312" w:cs="Times New Roman"/>
          <w:color w:val="auto"/>
          <w:u w:val="none"/>
        </w:rPr>
        <w:t>@163.com</w:t>
      </w:r>
      <w:r>
        <w:rPr>
          <w:rStyle w:val="5"/>
          <w:rFonts w:hint="eastAsia" w:ascii="Times New Roman" w:hAnsi="Times New Roman" w:eastAsia="仿宋_GB2312" w:cs="Times New Roman"/>
          <w:color w:val="auto"/>
          <w:u w:val="none"/>
        </w:rPr>
        <w:fldChar w:fldCharType="end"/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电话：6891</w:t>
      </w:r>
      <w:r>
        <w:rPr>
          <w:rFonts w:ascii="Times New Roman" w:hAnsi="Times New Roman" w:eastAsia="仿宋_GB2312" w:cs="Times New Roman"/>
        </w:rPr>
        <w:t>2</w:t>
      </w:r>
      <w:r>
        <w:rPr>
          <w:rFonts w:hint="eastAsia" w:ascii="Times New Roman" w:hAnsi="Times New Roman" w:eastAsia="仿宋_GB2312" w:cs="Times New Roman"/>
        </w:rPr>
        <w:t>3</w:t>
      </w:r>
      <w:r>
        <w:rPr>
          <w:rFonts w:ascii="Times New Roman" w:hAnsi="Times New Roman" w:eastAsia="仿宋_GB2312" w:cs="Times New Roman"/>
        </w:rPr>
        <w:t>77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通讯地址：北京市海淀区中关村南大街5号北京理工大学法学院</w:t>
      </w:r>
    </w:p>
    <w:p>
      <w:pPr>
        <w:snapToGrid w:val="0"/>
        <w:ind w:firstLine="2100" w:firstLineChars="10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邮编：100081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65F67"/>
    <w:rsid w:val="1376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2020-09-23T02:21:00Z</dcterms:created>
  <dc:creator>zjj_olivia</dc:creator>
  <cp:lastModifiedBy>zjj_olivia</cp:lastModifiedBy>
  <dcterms:modified xsi:type="dcterms:W3CDTF">2020-09-23T02:22:18Z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